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left"/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植物RNA核酸免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（多糖多酚类）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</w:t>
      </w:r>
      <w:r>
        <w:rPr>
          <w:rFonts w:hint="eastAsia" w:ascii="Times New Roman" w:hAnsi="Times New Roman" w:cs="Times New Roman"/>
          <w:szCs w:val="21"/>
          <w:lang w:eastAsia="zh-CN"/>
        </w:rPr>
        <w:t>专门针对多糖多酚类植物样本开发的</w:t>
      </w:r>
      <w:r>
        <w:rPr>
          <w:rFonts w:hint="default" w:ascii="Times New Roman" w:hAnsi="Times New Roman" w:cs="Times New Roman"/>
          <w:szCs w:val="21"/>
          <w:lang w:eastAsia="zh-CN"/>
        </w:rPr>
        <w:t>裂解液</w:t>
      </w:r>
      <w:r>
        <w:rPr>
          <w:rFonts w:hint="default" w:ascii="Times New Roman" w:hAnsi="Times New Roman" w:cs="Times New Roman"/>
          <w:szCs w:val="21"/>
          <w:lang w:val="en-US" w:eastAsia="zh-CN"/>
        </w:rPr>
        <w:t>P</w:t>
      </w:r>
      <w:r>
        <w:rPr>
          <w:rFonts w:hint="eastAsia" w:ascii="Times New Roman" w:hAnsi="Times New Roman" w:cs="Times New Roman"/>
          <w:szCs w:val="21"/>
          <w:lang w:val="en-US" w:eastAsia="zh-CN"/>
        </w:rPr>
        <w:t>P，</w:t>
      </w:r>
      <w:r>
        <w:rPr>
          <w:rFonts w:hint="default" w:ascii="Times New Roman" w:hAnsi="Times New Roman" w:cs="Times New Roman"/>
          <w:szCs w:val="21"/>
          <w:lang w:eastAsia="zh-CN"/>
        </w:rPr>
        <w:t>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10分钟内完成植物叶片、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根、茎、花蕊、</w:t>
      </w:r>
      <w:r>
        <w:rPr>
          <w:rFonts w:hint="default" w:ascii="Times New Roman" w:hAnsi="Times New Roman" w:cs="Times New Roman"/>
          <w:szCs w:val="21"/>
          <w:lang w:val="en-US" w:eastAsia="zh-CN"/>
        </w:rPr>
        <w:t>种子等的裂解、提取和纯化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提取对象包括</w:t>
      </w:r>
      <w:r>
        <w:rPr>
          <w:rFonts w:hint="default" w:ascii="Times New Roman" w:hAnsi="Times New Roman" w:cs="Times New Roman"/>
          <w:szCs w:val="21"/>
          <w:lang w:val="en-US" w:eastAsia="zh-CN"/>
        </w:rPr>
        <w:t>棉花、马铃薯、铁皮石斛等。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整个提取无需使用蛋白酶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K等酶类制剂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szCs w:val="21"/>
          <w:lang w:eastAsia="zh-CN"/>
        </w:rPr>
        <w:t>该配方中含有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。提取RNA可用于RT-PCR、RT-qPCR、Northern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Col-R020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裂解液P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PW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WB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洗脱液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RNA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Col-R0202E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PWB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48mL无水乙醇，并标记“√”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β-巯基乙醇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DNase I（2U/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，或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货号QR0102）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jc w:val="left"/>
        <w:rPr>
          <w:rFonts w:hint="default" w:ascii="Times New Roman" w:hAnsi="Times New Roman" w:cs="Times New Roman" w:eastAsiaTheme="minorEastAsia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新鲜植物样本经过液氮研磨后，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PP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和35</w:t>
      </w: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β-巯基乙醇，涡</w:t>
      </w:r>
      <w:r>
        <w:rPr>
          <w:rFonts w:hint="eastAsia" w:ascii="Times New Roman" w:hAnsi="Times New Roman" w:cs="Times New Roman"/>
          <w:szCs w:val="21"/>
          <w:lang w:val="en-US" w:eastAsia="zh-CN"/>
        </w:rPr>
        <w:t>旋30秒。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55</w:t>
      </w:r>
      <w:r>
        <w:rPr>
          <w:rFonts w:hint="eastAsia" w:ascii="Times New Roman" w:hAnsi="Times New Roman" w:cs="Times New Roman"/>
          <w:szCs w:val="21"/>
          <w:lang w:val="en-US" w:eastAsia="zh-CN"/>
        </w:rPr>
        <w:t>℃孵育1分钟。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备注：淀粉含量高的样本直接进行步骤3。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1分钟，吸取500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上清液。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无水乙醇，上下颠倒混匀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全部加入RNA吸附柱中，</w:t>
      </w: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</w:t>
      </w:r>
      <w:r>
        <w:rPr>
          <w:rFonts w:hint="default" w:ascii="Times New Roman" w:hAnsi="Times New Roman" w:cs="Times New Roman"/>
          <w:szCs w:val="21"/>
          <w:lang w:val="en-US" w:eastAsia="zh-CN"/>
        </w:rPr>
        <w:t>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洗涤液PWA</w:t>
      </w:r>
      <w:r>
        <w:rPr>
          <w:rFonts w:hint="default" w:ascii="Times New Roman" w:hAnsi="Times New Roman" w:cs="Times New Roman"/>
          <w:szCs w:val="21"/>
          <w:lang w:val="en-US" w:eastAsia="zh-CN"/>
        </w:rPr>
        <w:t>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μL洗涤液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PWB</w:t>
      </w:r>
      <w:r>
        <w:rPr>
          <w:rFonts w:hint="default" w:ascii="Times New Roman" w:hAnsi="Times New Roman" w:cs="Times New Roman"/>
          <w:szCs w:val="21"/>
          <w:lang w:val="en-US" w:eastAsia="zh-CN"/>
        </w:rPr>
        <w:t>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重复步骤</w:t>
      </w: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一次。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将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吸附柱放入新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μL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 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洗脱液PP置于65℃水浴后再使用。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根据后续试验需求，请使用DNase I（货号QR0102）进行基因组清除。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常见问题解析</w:t>
      </w:r>
    </w:p>
    <w:tbl>
      <w:tblPr>
        <w:tblStyle w:val="6"/>
        <w:tblW w:w="897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27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问题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可能原因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RNA吸附柱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堵塞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上样量太高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加入RNA吸附柱的液体中有固体成分或沉淀物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减少上样量。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增加离心时间。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切勿吸取到可见固体成分。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再次离心。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RNA得率低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未离心下来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样本量太大，裂解不充分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减少样本量。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重复洗脱步骤一次。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RNA降解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样本不新鲜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RNA酶污染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使用新鲜样本。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使用保存在样品保存液中样本。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样本保存在-80℃甚至液氮中，尽可能现取现用。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常更换手套。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常更换吸头和离心管。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使用无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>DNase无RNase的吸头和离心管。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6F5B451"/>
    <w:multiLevelType w:val="singleLevel"/>
    <w:tmpl w:val="26F5B45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AEB7A3F"/>
    <w:multiLevelType w:val="singleLevel"/>
    <w:tmpl w:val="2AEB7A3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29A0394"/>
    <w:multiLevelType w:val="singleLevel"/>
    <w:tmpl w:val="329A039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818183"/>
    <w:multiLevelType w:val="singleLevel"/>
    <w:tmpl w:val="768181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C52478"/>
    <w:multiLevelType w:val="singleLevel"/>
    <w:tmpl w:val="7FC524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4654ABA"/>
    <w:rsid w:val="058D286B"/>
    <w:rsid w:val="08CB619D"/>
    <w:rsid w:val="0F544B63"/>
    <w:rsid w:val="108729A9"/>
    <w:rsid w:val="10FB5869"/>
    <w:rsid w:val="115B0701"/>
    <w:rsid w:val="12690A5E"/>
    <w:rsid w:val="12EF4277"/>
    <w:rsid w:val="14403DB2"/>
    <w:rsid w:val="152C1B48"/>
    <w:rsid w:val="1636613F"/>
    <w:rsid w:val="164A219B"/>
    <w:rsid w:val="164A5565"/>
    <w:rsid w:val="168D1878"/>
    <w:rsid w:val="183905E2"/>
    <w:rsid w:val="1B7B0307"/>
    <w:rsid w:val="1C7140BC"/>
    <w:rsid w:val="1FA37FF4"/>
    <w:rsid w:val="250559D9"/>
    <w:rsid w:val="259A25D7"/>
    <w:rsid w:val="26D45192"/>
    <w:rsid w:val="27735BD6"/>
    <w:rsid w:val="2AD039E3"/>
    <w:rsid w:val="2D992E42"/>
    <w:rsid w:val="30CF3866"/>
    <w:rsid w:val="336F7120"/>
    <w:rsid w:val="347E17A5"/>
    <w:rsid w:val="34C01FA8"/>
    <w:rsid w:val="39E93D2A"/>
    <w:rsid w:val="3C1C6720"/>
    <w:rsid w:val="3C9935D8"/>
    <w:rsid w:val="3E0B5AFB"/>
    <w:rsid w:val="3E8F4A52"/>
    <w:rsid w:val="41DA1572"/>
    <w:rsid w:val="41E317AC"/>
    <w:rsid w:val="444C68AD"/>
    <w:rsid w:val="44F0110C"/>
    <w:rsid w:val="47657182"/>
    <w:rsid w:val="48580BE8"/>
    <w:rsid w:val="49AE7463"/>
    <w:rsid w:val="4E5D7767"/>
    <w:rsid w:val="4E8961D7"/>
    <w:rsid w:val="519C3458"/>
    <w:rsid w:val="53DB61EC"/>
    <w:rsid w:val="563D7ECC"/>
    <w:rsid w:val="58E721F6"/>
    <w:rsid w:val="59D63886"/>
    <w:rsid w:val="59DB15F9"/>
    <w:rsid w:val="5AF468C0"/>
    <w:rsid w:val="5B7F46A2"/>
    <w:rsid w:val="5BAB0CCC"/>
    <w:rsid w:val="5C021053"/>
    <w:rsid w:val="5E4D0079"/>
    <w:rsid w:val="5F4C5542"/>
    <w:rsid w:val="60D33AEA"/>
    <w:rsid w:val="618013E6"/>
    <w:rsid w:val="64A508EF"/>
    <w:rsid w:val="65A50E22"/>
    <w:rsid w:val="67E034AD"/>
    <w:rsid w:val="6BD22D1C"/>
    <w:rsid w:val="6D567E14"/>
    <w:rsid w:val="6D8C5D30"/>
    <w:rsid w:val="7175293A"/>
    <w:rsid w:val="726D4A3F"/>
    <w:rsid w:val="735112FF"/>
    <w:rsid w:val="74995402"/>
    <w:rsid w:val="795B4836"/>
    <w:rsid w:val="7B0D4F20"/>
    <w:rsid w:val="7F4A7303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917</Words>
  <Characters>1200</Characters>
  <Lines>14</Lines>
  <Paragraphs>4</Paragraphs>
  <TotalTime>14</TotalTime>
  <ScaleCrop>false</ScaleCrop>
  <LinksUpToDate>false</LinksUpToDate>
  <CharactersWithSpaces>1209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2023-04-21T06:12:19Z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